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50" w:before="150" w:line="100" w:lineRule="atLeast"/>
        <w:contextualSpacing w:val="false"/>
        <w:jc w:val="center"/>
      </w:pPr>
      <w:r>
        <w:rPr/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/>
        </w:rPr>
        <w:t>АДМИНИСТРАЦИЯ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32"/>
          <w:szCs w:val="32"/>
          <w:lang w:eastAsia="ru-RU"/>
        </w:rPr>
        <w:t>Ефремово-Степановского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СЕЛЬСКОГО  ПОСЕЛЕНИЯ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32"/>
          <w:szCs w:val="32"/>
          <w:lang w:eastAsia="ru-RU"/>
        </w:rPr>
        <w:t>Тарасовского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 РАЙОНА РОСТОВСКОЙ ОБЛАСТИ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/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ПОСТАНОВЛЕНИЕ 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51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/>
      </w:r>
    </w:p>
    <w:p>
      <w:pPr>
        <w:pStyle w:val="style0"/>
        <w:spacing w:after="150" w:before="150" w:line="100" w:lineRule="atLeast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23 июля 2015 г.                                                                                      сл Ефремово-Степановка</w:t>
      </w:r>
    </w:p>
    <w:p>
      <w:pPr>
        <w:pStyle w:val="style0"/>
        <w:spacing w:after="150" w:before="150" w:line="100" w:lineRule="atLeast"/>
        <w:contextualSpacing w:val="false"/>
      </w:pPr>
      <w:r>
        <w:rPr/>
      </w:r>
    </w:p>
    <w:p>
      <w:pPr>
        <w:pStyle w:val="style0"/>
        <w:spacing w:after="150" w:before="150" w:line="100" w:lineRule="atLeast"/>
        <w:contextualSpacing w:val="false"/>
      </w:pPr>
      <w:r>
        <w:rPr/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Программы по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охране земель на территории МО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«Ефремово-Степановское сельское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поселение» на 2016-2018 годы»</w:t>
      </w:r>
    </w:p>
    <w:p>
      <w:pPr>
        <w:pStyle w:val="style0"/>
        <w:spacing w:after="150" w:before="150" w:line="100" w:lineRule="atLeast"/>
        <w:contextualSpacing w:val="false"/>
      </w:pPr>
      <w:r>
        <w:rPr/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В соответствии со ст.ст. 11, 13 и 72 Земельного кодекса РФ, Федеральным законом от 6 октября 2003 года № 131-ФЗ "Об общих принципах организации местного самоуправления в Российской Федерации", руководствуясь Уставом муниципального образования «Ефремово-Степановское сельское поселение» Тарасовского района, Ростовской области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ПОСТАНОВЛЯЮ: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1. Утвердить Программу по охране земель на территории МО «Ефремово-Степановское сельское поселение», Тарасовского района, Ростовской области на 2016-2018 годы согласно приложениям.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2.Контроль за  выполнением настоящего постановления возложить на  ведущего специалиста по имущественным и земельным отношениям, архитектуре и строительству Ефремово-Степановского сельского поселения Бондаренко Л.Н.</w:t>
      </w:r>
    </w:p>
    <w:p>
      <w:pPr>
        <w:pStyle w:val="style0"/>
        <w:spacing w:after="150" w:before="150" w:line="100" w:lineRule="atLeast"/>
        <w:contextualSpacing w:val="false"/>
      </w:pPr>
      <w:r>
        <w:rPr/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Глава Ефремово-Степановского 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     Г.И. Артамонов</w:t>
      </w:r>
    </w:p>
    <w:p>
      <w:pPr>
        <w:pStyle w:val="style0"/>
        <w:spacing w:after="150" w:before="150" w:line="100" w:lineRule="atLeast"/>
        <w:contextualSpacing w:val="false"/>
      </w:pPr>
      <w:r>
        <w:rPr/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/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/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/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Приложение№ 1</w:t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к Постановлению главы</w:t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Ефремово-Степановского </w:t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от 23.07.2015г. № 51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/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охране земель на территории МО «Ефремово-Степановское сельское поселение» на 2016-2018годы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 w:val="en-US"/>
        </w:rPr>
        <w:t>I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Паспорт программы по охраны земель, на 2016-2018годы </w:t>
      </w:r>
    </w:p>
    <w:tbl>
      <w:tblPr>
        <w:jc w:val="center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right w:color="00000A" w:space="0" w:sz="6" w:val="thickThinLargeGap"/>
        </w:tblBorders>
      </w:tblPr>
      <w:tblGrid>
        <w:gridCol w:w="2991"/>
        <w:gridCol w:w="6548"/>
      </w:tblGrid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Целевая программа в области охраны земель на 2016-2018 годы (далее – Программа) </w:t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«Ефремово-Степановское сельское поселение» Тарасовского района, Ростовской области</w:t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Разработчик </w:t>
              <w:br/>
              <w:t xml:space="preserve">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«Ефремово-Степановское сельское поселение» </w:t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Основная цель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охраны земель на территории Ефремово-Степановского сельского поселения, в том числе: </w:t>
            </w:r>
          </w:p>
          <w:p>
            <w:pPr>
              <w:pStyle w:val="style0"/>
              <w:numPr>
                <w:ilvl w:val="0"/>
                <w:numId w:val="1"/>
              </w:numPr>
              <w:spacing w:after="60" w:before="6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обеспечение рационального использования земель</w:t>
            </w:r>
          </w:p>
          <w:p>
            <w:pPr>
              <w:pStyle w:val="style0"/>
              <w:numPr>
                <w:ilvl w:val="0"/>
                <w:numId w:val="1"/>
              </w:numPr>
              <w:spacing w:after="60" w:before="6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обеспечение охраны и восстановление плодородия земель;</w:t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Основные задачи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1. 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почв. </w:t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2016-2018годы </w:t>
            </w:r>
          </w:p>
        </w:tc>
      </w:tr>
      <w:tr>
        <w:trPr>
          <w:cantSplit w:val="false"/>
        </w:trPr>
        <w:tc>
          <w:tcPr>
            <w:tcW w:type="dxa" w:w="2991"/>
            <w:vMerge w:val="restart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1. Охрана земель</w:t>
            </w:r>
          </w:p>
        </w:tc>
      </w:tr>
      <w:tr>
        <w:trPr>
          <w:cantSplit w:val="false"/>
        </w:trPr>
        <w:tc>
          <w:tcPr>
            <w:tcW w:type="dxa" w:w="2991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cantSplit w:val="false"/>
        </w:trPr>
        <w:tc>
          <w:tcPr>
            <w:tcW w:type="dxa" w:w="2991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·Администрации МО «Ефремово-Степановское  сельское поселение»</w:t>
            </w:r>
          </w:p>
          <w:p>
            <w:pPr>
              <w:pStyle w:val="style0"/>
              <w:numPr>
                <w:ilvl w:val="0"/>
                <w:numId w:val="2"/>
              </w:numPr>
              <w:spacing w:after="60" w:before="6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иные организации, участвующие в реализации мероприятий Программы, определяются на конкурсной основе </w:t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Общий объем необходимого финансирования Программы составляет 50 ,0 тыс. рублей, из них: </w:t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 2016году 17,0 тыс. рублей </w:t>
            </w:r>
          </w:p>
          <w:p>
            <w:pPr>
              <w:pStyle w:val="style0"/>
              <w:numPr>
                <w:ilvl w:val="0"/>
                <w:numId w:val="3"/>
              </w:numPr>
              <w:spacing w:after="60" w:before="6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из бюджета МО «Ефремово-Степановское сельское поселение» 17,0 тыс. рублей; </w:t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 2017 году 17,0 тыс. рублей, в том числе: </w:t>
            </w:r>
          </w:p>
          <w:p>
            <w:pPr>
              <w:pStyle w:val="style0"/>
              <w:numPr>
                <w:ilvl w:val="0"/>
                <w:numId w:val="4"/>
              </w:numPr>
              <w:spacing w:after="60" w:before="6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из бюджета МО «Ефремово-Степановское сельское поселение»17,0  тыс. рублей; </w:t>
            </w:r>
          </w:p>
          <w:p>
            <w:pPr>
              <w:pStyle w:val="style0"/>
              <w:numPr>
                <w:ilvl w:val="0"/>
                <w:numId w:val="5"/>
              </w:numPr>
              <w:spacing w:after="60" w:before="6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 2018 году 16,0 тыс. рублей, в том числе: </w:t>
            </w:r>
          </w:p>
          <w:p>
            <w:pPr>
              <w:pStyle w:val="style0"/>
              <w:numPr>
                <w:ilvl w:val="0"/>
                <w:numId w:val="4"/>
              </w:numPr>
              <w:spacing w:after="60" w:before="6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из бюджета МО «Ефремово-Степановское сельское поселение» 16, 0тыс. рублей; </w:t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6"/>
              </w:numPr>
              <w:spacing w:after="60" w:before="6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Благоустройство населенных пунктов;</w:t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Контроль за реализацией Программы осуществляет Администрация муниципального образования «Ефремово-Степановское сельское поселение» </w:t>
            </w:r>
          </w:p>
        </w:tc>
      </w:tr>
    </w:tbl>
    <w:p>
      <w:pPr>
        <w:pStyle w:val="style0"/>
        <w:spacing w:after="150" w:before="150" w:line="100" w:lineRule="atLeast"/>
        <w:contextualSpacing w:val="false"/>
      </w:pPr>
      <w:r>
        <w:rPr/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 w:val="en-US"/>
        </w:rPr>
        <w:t>II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Содержание проблемы и обоснование необходимости ее решения программными методами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 обеспечения условий устойчивого развития поселения.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Местная программа «Охрана  земель на территории Ефремово-Степановского  сельского поселения  Тарасовского района, Ростовской области на 2016 - 2018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Проблемы устойчивого социально-экономического развития Ефремово-Степановского сельского поселения  Тарасовского района, Ростовской области 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 w:val="en-US"/>
        </w:rPr>
        <w:t>III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Цели, задачи и сроки реализации Программы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Целью Программы является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 xml:space="preserve">: </w:t>
      </w:r>
    </w:p>
    <w:p>
      <w:pPr>
        <w:pStyle w:val="style0"/>
        <w:numPr>
          <w:ilvl w:val="0"/>
          <w:numId w:val="7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>охрана и восстановление плодородия земель;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Задачами Программы являются: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1) улучшение условий для устойчивого земледелия, повышения плодородия почв, сокращения поверхностного стока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 w:val="en-US"/>
        </w:rPr>
        <w:t>IV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Ресурсное обеспечение Программы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местных бюджетов .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Общий объем финансирования Программы в 2016-2018годах составляет   50,0 тыс. рублей, из них: </w:t>
      </w:r>
    </w:p>
    <w:p>
      <w:pPr>
        <w:pStyle w:val="style0"/>
        <w:numPr>
          <w:ilvl w:val="0"/>
          <w:numId w:val="8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>из местного бюджета 50,0 тыс. рублей;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Объемы и источники финансирования подпрограмм и в целом Программы приведены в таблице №1.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Мероприятия по реализации Программы по подпрограммам, годам, объемам и источникам финансирования приведены в таблице  №2 к Программе.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 w:val="en-US"/>
        </w:rPr>
        <w:t>V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Механизм реализации Программы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 w:val="en-US"/>
        </w:rPr>
        <w:t>VI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Организация управления и контроль за ходом реализации Программы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Управление Программой осуществляется администрацией муниципального образования «Ефремово -Степановское сельское поселение»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Исполнители Программы представляют отчеты о ходе реализации программных мероприятий в  администрацию муниципального образования до 1 марта года, следующего за отчетным календарным годом.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Отчет о реализации Программы в соответствующем году должен содержать: </w:t>
      </w:r>
    </w:p>
    <w:p>
      <w:pPr>
        <w:pStyle w:val="style0"/>
        <w:numPr>
          <w:ilvl w:val="0"/>
          <w:numId w:val="9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 xml:space="preserve">общий объем фактически произведенных расходов, всего и в том числе по источникам финансирования; </w:t>
      </w:r>
    </w:p>
    <w:p>
      <w:pPr>
        <w:pStyle w:val="style0"/>
        <w:numPr>
          <w:ilvl w:val="0"/>
          <w:numId w:val="9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 xml:space="preserve">перечень завершенных в течение года мероприятий по Программе; </w:t>
      </w:r>
    </w:p>
    <w:p>
      <w:pPr>
        <w:pStyle w:val="style0"/>
        <w:numPr>
          <w:ilvl w:val="0"/>
          <w:numId w:val="9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 xml:space="preserve">перечень не завершенных в течение года мероприятий Программы и процент их не завершения; </w:t>
      </w:r>
    </w:p>
    <w:p>
      <w:pPr>
        <w:pStyle w:val="style0"/>
        <w:numPr>
          <w:ilvl w:val="0"/>
          <w:numId w:val="9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 xml:space="preserve">анализ причин несвоевременного завершения программных мероприятий; </w:t>
      </w:r>
    </w:p>
    <w:p>
      <w:pPr>
        <w:pStyle w:val="style0"/>
        <w:numPr>
          <w:ilvl w:val="0"/>
          <w:numId w:val="9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 xml:space="preserve"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 w:val="en-US"/>
        </w:rPr>
        <w:t> VII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Оценка социально-экономической эффективности реализации Программы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выполнения мероприятий Программы будет обеспечено: </w:t>
      </w:r>
    </w:p>
    <w:p>
      <w:pPr>
        <w:pStyle w:val="style0"/>
        <w:numPr>
          <w:ilvl w:val="0"/>
          <w:numId w:val="10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 w:val="en-US"/>
        </w:rPr>
        <w:t>благоустройство населенных пунктов;</w:t>
      </w:r>
    </w:p>
    <w:p>
      <w:pPr>
        <w:pStyle w:val="style0"/>
        <w:numPr>
          <w:ilvl w:val="0"/>
          <w:numId w:val="10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>улучшение качественных характеристик земель;</w:t>
      </w:r>
    </w:p>
    <w:p>
      <w:pPr>
        <w:pStyle w:val="style0"/>
        <w:numPr>
          <w:ilvl w:val="0"/>
          <w:numId w:val="10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 xml:space="preserve">эффективное использование земель </w:t>
      </w:r>
    </w:p>
    <w:p>
      <w:pPr>
        <w:pStyle w:val="style0"/>
        <w:spacing w:after="150" w:before="150" w:line="100" w:lineRule="atLeast"/>
        <w:contextualSpacing w:val="false"/>
      </w:pPr>
      <w:r>
        <w:rPr/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Таблица №1</w:t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к Программе по охране земель на</w:t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территории Ефремово-Степановского</w:t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на 2016-2018гг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ОБЪЕМЫ  И  ИСТОЧНИКИ  ФИНАНСИРОВАНИЯ  ПРОГРАММЫ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(тыс. рублей)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/>
      </w:r>
    </w:p>
    <w:tbl>
      <w:tblPr>
        <w:jc w:val="left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right w:color="00000A" w:space="0" w:sz="6" w:val="thickThinLargeGap"/>
        </w:tblBorders>
      </w:tblPr>
      <w:tblGrid>
        <w:gridCol w:w="581"/>
        <w:gridCol w:w="3045"/>
        <w:gridCol w:w="1912"/>
        <w:gridCol w:w="719"/>
      </w:tblGrid>
      <w:tr>
        <w:trPr>
          <w:cantSplit w:val="false"/>
        </w:trPr>
        <w:tc>
          <w:tcPr>
            <w:tcW w:type="dxa" w:w="581"/>
            <w:vMerge w:val="restart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type="dxa" w:w="3045"/>
            <w:vMerge w:val="restart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Общие объемы затрат по источникам финансирования</w:t>
            </w:r>
          </w:p>
        </w:tc>
        <w:tc>
          <w:tcPr>
            <w:tcW w:type="dxa" w:w="1912"/>
            <w:vMerge w:val="restart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Всего, тыс.рублей</w:t>
            </w:r>
          </w:p>
        </w:tc>
        <w:tc>
          <w:tcPr>
            <w:tcW w:type="dxa" w:w="719"/>
            <w:gridSpan w:val="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>
        <w:trPr>
          <w:cantSplit w:val="false"/>
        </w:trPr>
        <w:tc>
          <w:tcPr>
            <w:tcW w:type="dxa" w:w="581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3045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912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10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type="dxa" w:w="129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type="dxa" w:w="144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2018г</w:t>
            </w:r>
          </w:p>
        </w:tc>
      </w:tr>
      <w:tr>
        <w:trPr>
          <w:cantSplit w:val="false"/>
        </w:trPr>
        <w:tc>
          <w:tcPr>
            <w:tcW w:type="dxa" w:w="58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3045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Бюджет МО «Ефремово-Степановское  сельское поселение»</w:t>
            </w:r>
          </w:p>
        </w:tc>
        <w:tc>
          <w:tcPr>
            <w:tcW w:type="dxa" w:w="191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type="dxa" w:w="110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type="dxa" w:w="129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type="dxa" w:w="144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</w:tr>
      <w:tr>
        <w:trPr>
          <w:cantSplit w:val="false"/>
        </w:trPr>
        <w:tc>
          <w:tcPr>
            <w:tcW w:type="dxa" w:w="58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045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type="dxa" w:w="191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type="dxa" w:w="110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type="dxa" w:w="129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type="dxa" w:w="144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</w:tr>
    </w:tbl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/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Таблица № 2</w:t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 Программе по охране земель на </w:t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территории Ефремово-Степановского</w:t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на 2016-2018 г</w:t>
      </w:r>
    </w:p>
    <w:p>
      <w:pPr>
        <w:pStyle w:val="style0"/>
        <w:spacing w:after="150" w:before="150" w:line="100" w:lineRule="atLeast"/>
        <w:contextualSpacing w:val="false"/>
      </w:pPr>
      <w:r>
        <w:rPr/>
      </w:r>
    </w:p>
    <w:p>
      <w:pPr>
        <w:pStyle w:val="style0"/>
        <w:spacing w:after="150" w:before="150" w:line="100" w:lineRule="atLeast"/>
        <w:contextualSpacing w:val="false"/>
      </w:pPr>
      <w:r>
        <w:rPr/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СИСТЕМА ПРОГРАММНЫХ МЕРОПРИЯТИЙ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Раздел I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МЕРОПРИЯТИЯ ПО ОХРАНЕ ЗЕМЕЛЬ НА ТЕРРИТОРИИ ЕФРЕМОВО-СТЕПАНОВСКОГО СЕЛЬСКОГО ПОСЕЛЕНИЯ НА 2016-2018гг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/>
      </w:r>
    </w:p>
    <w:tbl>
      <w:tblPr>
        <w:jc w:val="left"/>
        <w:tblBorders/>
      </w:tblPr>
      <w:tblGrid>
        <w:gridCol w:w="376"/>
        <w:gridCol w:w="2730"/>
        <w:gridCol w:w="2533"/>
        <w:gridCol w:w="1244"/>
        <w:gridCol w:w="1"/>
      </w:tblGrid>
      <w:tr>
        <w:trPr>
          <w:cantSplit w:val="false"/>
        </w:trPr>
        <w:tc>
          <w:tcPr>
            <w:tcW w:type="dxa" w:w="376"/>
            <w:vMerge w:val="restart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type="dxa" w:w="2730"/>
            <w:vMerge w:val="restart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type="dxa" w:w="2533"/>
            <w:vMerge w:val="restart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type="dxa" w:w="1244"/>
            <w:vMerge w:val="restart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type="dxa" w:w="1"/>
            <w:gridSpan w:val="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Объем финансовых средств из бюджета Ефремово-Степановского сельского поселения и ожидаемые конечные результаты</w:t>
            </w:r>
          </w:p>
        </w:tc>
      </w:tr>
      <w:tr>
        <w:trPr>
          <w:cantSplit w:val="false"/>
        </w:trPr>
        <w:tc>
          <w:tcPr>
            <w:tcW w:type="dxa" w:w="376"/>
            <w:vMerge w:val="continue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730"/>
            <w:vMerge w:val="continue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533"/>
            <w:vMerge w:val="continue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244"/>
            <w:vMerge w:val="continue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64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type="dxa" w:w="86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type="dxa" w:w="82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2017г </w:t>
            </w:r>
          </w:p>
        </w:tc>
        <w:tc>
          <w:tcPr>
            <w:tcW w:type="dxa" w:w="84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2018г</w:t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7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type="dxa" w:w="273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type="dxa" w:w="253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Администрация Ефремово-Степановского сельского поселения</w:t>
            </w:r>
          </w:p>
        </w:tc>
        <w:tc>
          <w:tcPr>
            <w:tcW w:type="dxa" w:w="124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64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type="dxa" w:w="86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type="dxa" w:w="82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type="dxa" w:w="84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>
        <w:trPr>
          <w:cantSplit w:val="false"/>
        </w:trPr>
        <w:tc>
          <w:tcPr>
            <w:tcW w:type="dxa" w:w="37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type="dxa" w:w="273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Посадка кустарников и деревьев на участках подверженных водной эрозии, </w:t>
            </w:r>
          </w:p>
        </w:tc>
        <w:tc>
          <w:tcPr>
            <w:tcW w:type="dxa" w:w="253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Администрация Ефремово-Степановскогосельского поселения</w:t>
            </w:r>
          </w:p>
        </w:tc>
        <w:tc>
          <w:tcPr>
            <w:tcW w:type="dxa" w:w="124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type="dxa" w:w="64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type="dxa" w:w="86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type="dxa" w:w="82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type="dxa" w:w="84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cantSplit w:val="false"/>
        </w:trPr>
        <w:tc>
          <w:tcPr>
            <w:tcW w:type="dxa" w:w="37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273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Контроль за соблюдением правил рационального использования земель сельскохозяйственного назначения</w:t>
            </w:r>
          </w:p>
        </w:tc>
        <w:tc>
          <w:tcPr>
            <w:tcW w:type="dxa" w:w="253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Администрация Ефремово-Степановского сельского поселения</w:t>
            </w:r>
          </w:p>
        </w:tc>
        <w:tc>
          <w:tcPr>
            <w:tcW w:type="dxa" w:w="124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type="dxa" w:w="64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type="dxa" w:w="86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type="dxa" w:w="82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type="dxa" w:w="84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cantSplit w:val="false"/>
        </w:trPr>
        <w:tc>
          <w:tcPr>
            <w:tcW w:type="dxa" w:w="37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273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.</w:t>
            </w:r>
          </w:p>
        </w:tc>
        <w:tc>
          <w:tcPr>
            <w:tcW w:type="dxa" w:w="253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Администрация Ефремово-Степановского сельского поселения</w:t>
            </w:r>
          </w:p>
        </w:tc>
        <w:tc>
          <w:tcPr>
            <w:tcW w:type="dxa" w:w="124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 необ</w:t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ходимос</w:t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type="dxa" w:w="64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type="dxa" w:w="86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type="dxa" w:w="82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type="dxa" w:w="84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>
      <w:pPr>
        <w:pStyle w:val="style0"/>
        <w:spacing w:after="150" w:before="150" w:line="100" w:lineRule="atLeast"/>
        <w:contextualSpacing w:val="false"/>
      </w:pPr>
      <w:r>
        <w:rPr/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Главы Ефремово-Степановского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    Г.И.Артамонов</w:t>
      </w:r>
    </w:p>
    <w:p>
      <w:pPr>
        <w:pStyle w:val="style0"/>
        <w:spacing w:after="150" w:before="150" w:line="100" w:lineRule="atLeast"/>
        <w:contextualSpacing w:val="false"/>
      </w:pPr>
      <w:r>
        <w:rPr/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17"/>
          <w:szCs w:val="17"/>
          <w:lang w:eastAsia="ru-RU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0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2015-07-27T08:53:00.00Z</dcterms:created>
  <dc:creator>IMANGO</dc:creator>
  <cp:lastModifiedBy>IMANGO</cp:lastModifiedBy>
  <cp:lastPrinted>2015-07-29T07:25:00.00Z</cp:lastPrinted>
  <dcterms:modified xsi:type="dcterms:W3CDTF">2015-07-31T11:24:00.00Z</dcterms:modified>
  <cp:revision>12</cp:revision>
</cp:coreProperties>
</file>